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E4D" w:rsidRPr="00781DB0" w:rsidRDefault="00F536AA" w:rsidP="00720007">
      <w:pPr>
        <w:jc w:val="both"/>
        <w:rPr>
          <w:rFonts w:ascii="Arial" w:hAnsi="Arial" w:cs="Arial"/>
          <w:b/>
          <w:bCs/>
        </w:rPr>
      </w:pPr>
      <w:bookmarkStart w:id="0" w:name="_GoBack"/>
      <w:r w:rsidRPr="00781DB0">
        <w:rPr>
          <w:rFonts w:ascii="Arial" w:hAnsi="Arial" w:cs="Arial"/>
          <w:b/>
          <w:bCs/>
        </w:rPr>
        <w:t>INTERVENCIÓN AUDIENCIA PÚBLICA DOBLE CONFORMIDAD.</w:t>
      </w:r>
    </w:p>
    <w:p w:rsidR="00F536AA" w:rsidRPr="00781DB0" w:rsidRDefault="00F536AA" w:rsidP="00720007">
      <w:pPr>
        <w:jc w:val="both"/>
        <w:rPr>
          <w:rFonts w:ascii="Arial" w:hAnsi="Arial" w:cs="Arial"/>
          <w:b/>
          <w:bCs/>
        </w:rPr>
      </w:pPr>
    </w:p>
    <w:p w:rsidR="00F536AA" w:rsidRPr="00781DB0" w:rsidRDefault="00F536AA" w:rsidP="00720007">
      <w:pPr>
        <w:jc w:val="both"/>
        <w:rPr>
          <w:rFonts w:ascii="Arial" w:hAnsi="Arial" w:cs="Arial"/>
        </w:rPr>
      </w:pPr>
      <w:r w:rsidRPr="00781DB0">
        <w:rPr>
          <w:rFonts w:ascii="Arial" w:hAnsi="Arial" w:cs="Arial"/>
        </w:rPr>
        <w:t xml:space="preserve">Buenos días miembros de la Comisión Primera de la Cámara de Representantes, y a todas las personas que con su participación enriquecen el trámite legislativo </w:t>
      </w:r>
      <w:r w:rsidR="00561AE5" w:rsidRPr="00781DB0">
        <w:rPr>
          <w:rFonts w:ascii="Arial" w:hAnsi="Arial" w:cs="Arial"/>
        </w:rPr>
        <w:t xml:space="preserve">democrático </w:t>
      </w:r>
      <w:r w:rsidRPr="00781DB0">
        <w:rPr>
          <w:rFonts w:ascii="Arial" w:hAnsi="Arial" w:cs="Arial"/>
        </w:rPr>
        <w:t>del proyecto de ley estatutaria 304 de 2020 Cámara.</w:t>
      </w:r>
    </w:p>
    <w:p w:rsidR="00F536AA" w:rsidRPr="00781DB0" w:rsidRDefault="00F536AA" w:rsidP="00720007">
      <w:pPr>
        <w:jc w:val="both"/>
        <w:rPr>
          <w:rFonts w:ascii="Arial" w:hAnsi="Arial" w:cs="Arial"/>
        </w:rPr>
      </w:pPr>
      <w:r w:rsidRPr="00781DB0">
        <w:rPr>
          <w:rFonts w:ascii="Arial" w:hAnsi="Arial" w:cs="Arial"/>
        </w:rPr>
        <w:t>Quiero extender un cálido saludo en nombre del Señor Ministro de Justicia y del Derecho, Doctor Wilson Ruíz, y referirme de manera concreta a la posición del Ministerio de Justicia y del Derecho frente a</w:t>
      </w:r>
      <w:r w:rsidR="00561AE5" w:rsidRPr="00781DB0">
        <w:rPr>
          <w:rFonts w:ascii="Arial" w:hAnsi="Arial" w:cs="Arial"/>
        </w:rPr>
        <w:t xml:space="preserve"> la iniciativa</w:t>
      </w:r>
      <w:r w:rsidRPr="00781DB0">
        <w:rPr>
          <w:rFonts w:ascii="Arial" w:hAnsi="Arial" w:cs="Arial"/>
        </w:rPr>
        <w:t xml:space="preserve"> que nos ocupa.</w:t>
      </w:r>
    </w:p>
    <w:p w:rsidR="00C30BF3" w:rsidRPr="00781DB0" w:rsidRDefault="00874F87" w:rsidP="00720007">
      <w:pPr>
        <w:pBdr>
          <w:top w:val="nil"/>
          <w:left w:val="nil"/>
          <w:bottom w:val="nil"/>
          <w:right w:val="nil"/>
          <w:between w:val="nil"/>
        </w:pBdr>
        <w:spacing w:after="0" w:line="240" w:lineRule="auto"/>
        <w:jc w:val="both"/>
        <w:rPr>
          <w:rFonts w:ascii="Arial" w:eastAsia="Times New Roman" w:hAnsi="Arial" w:cs="Arial"/>
          <w:color w:val="000000"/>
        </w:rPr>
      </w:pPr>
      <w:r w:rsidRPr="00781DB0">
        <w:rPr>
          <w:rFonts w:ascii="Arial" w:hAnsi="Arial" w:cs="Arial"/>
        </w:rPr>
        <w:t>Lo primero que debemos destacar es que e</w:t>
      </w:r>
      <w:r w:rsidR="00F536AA" w:rsidRPr="00781DB0">
        <w:rPr>
          <w:rFonts w:ascii="Arial" w:hAnsi="Arial" w:cs="Arial"/>
        </w:rPr>
        <w:t xml:space="preserve">l proyecto de ley estatutaria 304 de 2020 </w:t>
      </w:r>
      <w:r w:rsidR="00425A9B">
        <w:rPr>
          <w:rFonts w:ascii="Arial" w:hAnsi="Arial" w:cs="Arial"/>
        </w:rPr>
        <w:t xml:space="preserve">Cámara </w:t>
      </w:r>
      <w:r w:rsidRPr="00781DB0">
        <w:rPr>
          <w:rFonts w:ascii="Arial" w:hAnsi="Arial" w:cs="Arial"/>
        </w:rPr>
        <w:t>es de estirpe garantista</w:t>
      </w:r>
      <w:r w:rsidR="008355FD" w:rsidRPr="00781DB0">
        <w:rPr>
          <w:rFonts w:ascii="Arial" w:hAnsi="Arial" w:cs="Arial"/>
        </w:rPr>
        <w:t>,</w:t>
      </w:r>
      <w:r w:rsidRPr="00781DB0">
        <w:rPr>
          <w:rFonts w:ascii="Arial" w:hAnsi="Arial" w:cs="Arial"/>
        </w:rPr>
        <w:t xml:space="preserve"> en tanto </w:t>
      </w:r>
      <w:r w:rsidRPr="00781DB0">
        <w:rPr>
          <w:rFonts w:ascii="Arial" w:eastAsia="Times New Roman" w:hAnsi="Arial" w:cs="Arial"/>
          <w:color w:val="000000"/>
        </w:rPr>
        <w:t>aboga por el cumplimiento en todos los casos, del</w:t>
      </w:r>
      <w:r w:rsidR="00F536AA" w:rsidRPr="00781DB0">
        <w:rPr>
          <w:rFonts w:ascii="Arial" w:eastAsia="Times New Roman" w:hAnsi="Arial" w:cs="Arial"/>
          <w:color w:val="000000"/>
        </w:rPr>
        <w:t xml:space="preserve"> derecho fundamental a</w:t>
      </w:r>
      <w:r w:rsidRPr="00781DB0">
        <w:rPr>
          <w:rFonts w:ascii="Arial" w:eastAsia="Times New Roman" w:hAnsi="Arial" w:cs="Arial"/>
          <w:color w:val="000000"/>
        </w:rPr>
        <w:t xml:space="preserve">l debido proceso, </w:t>
      </w:r>
      <w:r w:rsidR="008355FD" w:rsidRPr="00781DB0">
        <w:rPr>
          <w:rFonts w:ascii="Arial" w:eastAsia="Times New Roman" w:hAnsi="Arial" w:cs="Arial"/>
          <w:color w:val="000000"/>
        </w:rPr>
        <w:t xml:space="preserve">derecho </w:t>
      </w:r>
      <w:r w:rsidRPr="00781DB0">
        <w:rPr>
          <w:rFonts w:ascii="Arial" w:eastAsia="Times New Roman" w:hAnsi="Arial" w:cs="Arial"/>
          <w:color w:val="000000"/>
        </w:rPr>
        <w:t>que abarca poder contar con una</w:t>
      </w:r>
      <w:r w:rsidR="00F536AA" w:rsidRPr="00781DB0">
        <w:rPr>
          <w:rFonts w:ascii="Arial" w:eastAsia="Times New Roman" w:hAnsi="Arial" w:cs="Arial"/>
          <w:color w:val="000000"/>
        </w:rPr>
        <w:t xml:space="preserve"> doble instancia, </w:t>
      </w:r>
      <w:r w:rsidRPr="00781DB0">
        <w:rPr>
          <w:rFonts w:ascii="Arial" w:eastAsia="Times New Roman" w:hAnsi="Arial" w:cs="Arial"/>
          <w:color w:val="000000"/>
        </w:rPr>
        <w:t xml:space="preserve">con </w:t>
      </w:r>
      <w:r w:rsidR="00F536AA" w:rsidRPr="00781DB0">
        <w:rPr>
          <w:rFonts w:ascii="Arial" w:eastAsia="Times New Roman" w:hAnsi="Arial" w:cs="Arial"/>
          <w:color w:val="000000"/>
        </w:rPr>
        <w:t xml:space="preserve">la doble conformidad y </w:t>
      </w:r>
      <w:r w:rsidR="0024758C" w:rsidRPr="00781DB0">
        <w:rPr>
          <w:rFonts w:ascii="Arial" w:eastAsia="Times New Roman" w:hAnsi="Arial" w:cs="Arial"/>
          <w:color w:val="000000"/>
        </w:rPr>
        <w:t>con</w:t>
      </w:r>
      <w:r w:rsidRPr="00781DB0">
        <w:rPr>
          <w:rFonts w:ascii="Arial" w:eastAsia="Times New Roman" w:hAnsi="Arial" w:cs="Arial"/>
          <w:color w:val="000000"/>
        </w:rPr>
        <w:t xml:space="preserve"> </w:t>
      </w:r>
      <w:r w:rsidR="00F536AA" w:rsidRPr="00781DB0">
        <w:rPr>
          <w:rFonts w:ascii="Arial" w:eastAsia="Times New Roman" w:hAnsi="Arial" w:cs="Arial"/>
          <w:color w:val="000000"/>
        </w:rPr>
        <w:t>la favorabilidad penal</w:t>
      </w:r>
      <w:r w:rsidR="00C30BF3" w:rsidRPr="00781DB0">
        <w:rPr>
          <w:rFonts w:ascii="Arial" w:hAnsi="Arial" w:cs="Arial"/>
        </w:rPr>
        <w:t>, dando paso a que quienes tienen</w:t>
      </w:r>
      <w:r w:rsidR="00C30BF3" w:rsidRPr="00781DB0">
        <w:rPr>
          <w:rFonts w:ascii="Arial" w:eastAsia="Times New Roman" w:hAnsi="Arial" w:cs="Arial"/>
          <w:color w:val="000000"/>
        </w:rPr>
        <w:t xml:space="preserve"> una sentencia condenatoria de única instancia o </w:t>
      </w:r>
      <w:r w:rsidR="004218E3" w:rsidRPr="00781DB0">
        <w:rPr>
          <w:rFonts w:ascii="Arial" w:eastAsia="Times New Roman" w:hAnsi="Arial" w:cs="Arial"/>
          <w:color w:val="000000"/>
        </w:rPr>
        <w:t xml:space="preserve">de </w:t>
      </w:r>
      <w:r w:rsidR="00C30BF3" w:rsidRPr="00781DB0">
        <w:rPr>
          <w:rFonts w:ascii="Arial" w:eastAsia="Times New Roman" w:hAnsi="Arial" w:cs="Arial"/>
          <w:color w:val="000000"/>
        </w:rPr>
        <w:t>segunda</w:t>
      </w:r>
      <w:r w:rsidR="004218E3" w:rsidRPr="00781DB0">
        <w:rPr>
          <w:rFonts w:ascii="Arial" w:eastAsia="Times New Roman" w:hAnsi="Arial" w:cs="Arial"/>
          <w:color w:val="000000"/>
        </w:rPr>
        <w:t xml:space="preserve"> instancia</w:t>
      </w:r>
      <w:r w:rsidR="00C30BF3" w:rsidRPr="00781DB0">
        <w:rPr>
          <w:rFonts w:ascii="Arial" w:eastAsia="Times New Roman" w:hAnsi="Arial" w:cs="Arial"/>
          <w:color w:val="000000"/>
        </w:rPr>
        <w:t xml:space="preserve">, </w:t>
      </w:r>
      <w:r w:rsidR="004218E3" w:rsidRPr="00781DB0">
        <w:rPr>
          <w:rFonts w:ascii="Arial" w:eastAsia="Times New Roman" w:hAnsi="Arial" w:cs="Arial"/>
          <w:color w:val="000000"/>
        </w:rPr>
        <w:t>puedan acceder a</w:t>
      </w:r>
      <w:r w:rsidR="00C30BF3" w:rsidRPr="00781DB0">
        <w:rPr>
          <w:rFonts w:ascii="Arial" w:eastAsia="Times New Roman" w:hAnsi="Arial" w:cs="Arial"/>
          <w:color w:val="000000"/>
        </w:rPr>
        <w:t xml:space="preserve"> </w:t>
      </w:r>
      <w:r w:rsidR="008355FD" w:rsidRPr="00781DB0">
        <w:rPr>
          <w:rFonts w:ascii="Arial" w:eastAsia="Times New Roman" w:hAnsi="Arial" w:cs="Arial"/>
          <w:color w:val="000000"/>
        </w:rPr>
        <w:t xml:space="preserve">la revisión del caso por parte de </w:t>
      </w:r>
      <w:r w:rsidR="00C30BF3" w:rsidRPr="00781DB0">
        <w:rPr>
          <w:rFonts w:ascii="Arial" w:eastAsia="Times New Roman" w:hAnsi="Arial" w:cs="Arial"/>
          <w:color w:val="000000"/>
        </w:rPr>
        <w:t>un tribunal superior y diferente al que pronunci</w:t>
      </w:r>
      <w:r w:rsidR="008355FD" w:rsidRPr="00781DB0">
        <w:rPr>
          <w:rFonts w:ascii="Arial" w:eastAsia="Times New Roman" w:hAnsi="Arial" w:cs="Arial"/>
          <w:color w:val="000000"/>
        </w:rPr>
        <w:t>ó</w:t>
      </w:r>
      <w:r w:rsidR="00C30BF3" w:rsidRPr="00781DB0">
        <w:rPr>
          <w:rFonts w:ascii="Arial" w:eastAsia="Times New Roman" w:hAnsi="Arial" w:cs="Arial"/>
          <w:color w:val="000000"/>
        </w:rPr>
        <w:t xml:space="preserve"> la condena</w:t>
      </w:r>
      <w:r w:rsidR="008355FD" w:rsidRPr="00781DB0">
        <w:rPr>
          <w:rFonts w:ascii="Arial" w:eastAsia="Times New Roman" w:hAnsi="Arial" w:cs="Arial"/>
          <w:color w:val="000000"/>
        </w:rPr>
        <w:t>.</w:t>
      </w:r>
    </w:p>
    <w:p w:rsidR="00874F87" w:rsidRPr="00781DB0" w:rsidRDefault="00874F87" w:rsidP="00720007">
      <w:pPr>
        <w:pBdr>
          <w:top w:val="nil"/>
          <w:left w:val="nil"/>
          <w:bottom w:val="nil"/>
          <w:right w:val="nil"/>
          <w:between w:val="nil"/>
        </w:pBdr>
        <w:spacing w:after="0" w:line="240" w:lineRule="auto"/>
        <w:jc w:val="both"/>
        <w:rPr>
          <w:rFonts w:ascii="Arial" w:hAnsi="Arial" w:cs="Arial"/>
        </w:rPr>
      </w:pPr>
    </w:p>
    <w:p w:rsidR="00E04C25" w:rsidRPr="00781DB0" w:rsidRDefault="0024758C" w:rsidP="00720007">
      <w:pPr>
        <w:pBdr>
          <w:top w:val="nil"/>
          <w:left w:val="nil"/>
          <w:bottom w:val="nil"/>
          <w:right w:val="nil"/>
          <w:between w:val="nil"/>
        </w:pBdr>
        <w:spacing w:after="0" w:line="240" w:lineRule="auto"/>
        <w:jc w:val="both"/>
        <w:rPr>
          <w:rFonts w:ascii="Arial" w:eastAsia="Times New Roman" w:hAnsi="Arial" w:cs="Arial"/>
          <w:color w:val="000000"/>
        </w:rPr>
      </w:pPr>
      <w:r w:rsidRPr="00781DB0">
        <w:rPr>
          <w:rFonts w:ascii="Arial" w:hAnsi="Arial" w:cs="Arial"/>
        </w:rPr>
        <w:t xml:space="preserve">Esos mínimos que deben atenderse en cualquier causa </w:t>
      </w:r>
      <w:proofErr w:type="gramStart"/>
      <w:r w:rsidRPr="00781DB0">
        <w:rPr>
          <w:rFonts w:ascii="Arial" w:hAnsi="Arial" w:cs="Arial"/>
        </w:rPr>
        <w:t>penal</w:t>
      </w:r>
      <w:r w:rsidR="008355FD" w:rsidRPr="00781DB0">
        <w:rPr>
          <w:rFonts w:ascii="Arial" w:hAnsi="Arial" w:cs="Arial"/>
        </w:rPr>
        <w:t>,</w:t>
      </w:r>
      <w:proofErr w:type="gramEnd"/>
      <w:r w:rsidRPr="00781DB0">
        <w:rPr>
          <w:rFonts w:ascii="Arial" w:hAnsi="Arial" w:cs="Arial"/>
        </w:rPr>
        <w:t xml:space="preserve"> están </w:t>
      </w:r>
      <w:r w:rsidR="00F536AA" w:rsidRPr="00781DB0">
        <w:rPr>
          <w:rFonts w:ascii="Arial" w:hAnsi="Arial" w:cs="Arial"/>
        </w:rPr>
        <w:t xml:space="preserve">consagrados </w:t>
      </w:r>
      <w:r w:rsidR="00F536AA" w:rsidRPr="00781DB0">
        <w:rPr>
          <w:rFonts w:ascii="Arial" w:eastAsia="Times New Roman" w:hAnsi="Arial" w:cs="Arial"/>
          <w:color w:val="000000"/>
        </w:rPr>
        <w:t>en instrumentos internacionales de derechos humanos que han sido ratificados por Colombia</w:t>
      </w:r>
      <w:r w:rsidR="00E04C25" w:rsidRPr="00781DB0">
        <w:rPr>
          <w:rFonts w:ascii="Arial" w:eastAsia="Times New Roman" w:hAnsi="Arial" w:cs="Arial"/>
          <w:color w:val="000000"/>
        </w:rPr>
        <w:t>, que se encuentran vigentes</w:t>
      </w:r>
      <w:r w:rsidR="00F536AA" w:rsidRPr="00781DB0">
        <w:rPr>
          <w:rFonts w:ascii="Arial" w:eastAsia="Times New Roman" w:hAnsi="Arial" w:cs="Arial"/>
          <w:color w:val="000000"/>
        </w:rPr>
        <w:t xml:space="preserve"> y que en consecuencia hacen parte del bloque de constitucionalidad</w:t>
      </w:r>
      <w:r w:rsidR="00E04C25" w:rsidRPr="00781DB0">
        <w:rPr>
          <w:rFonts w:ascii="Arial" w:eastAsia="Times New Roman" w:hAnsi="Arial" w:cs="Arial"/>
          <w:color w:val="000000"/>
        </w:rPr>
        <w:t>.</w:t>
      </w:r>
      <w:r w:rsidRPr="00781DB0">
        <w:rPr>
          <w:rFonts w:ascii="Arial" w:eastAsia="Times New Roman" w:hAnsi="Arial" w:cs="Arial"/>
          <w:color w:val="000000"/>
        </w:rPr>
        <w:t xml:space="preserve"> </w:t>
      </w:r>
    </w:p>
    <w:p w:rsidR="0024758C" w:rsidRPr="00781DB0" w:rsidRDefault="0024758C" w:rsidP="00720007">
      <w:pPr>
        <w:pBdr>
          <w:top w:val="nil"/>
          <w:left w:val="nil"/>
          <w:bottom w:val="nil"/>
          <w:right w:val="nil"/>
          <w:between w:val="nil"/>
        </w:pBdr>
        <w:spacing w:after="0" w:line="240" w:lineRule="auto"/>
        <w:jc w:val="both"/>
        <w:rPr>
          <w:rFonts w:ascii="Arial" w:eastAsia="Times New Roman" w:hAnsi="Arial" w:cs="Arial"/>
          <w:color w:val="000000"/>
        </w:rPr>
      </w:pPr>
    </w:p>
    <w:p w:rsidR="004218E3" w:rsidRPr="00781DB0" w:rsidRDefault="004218E3" w:rsidP="00720007">
      <w:pPr>
        <w:spacing w:after="0"/>
        <w:jc w:val="both"/>
        <w:rPr>
          <w:rFonts w:ascii="Arial" w:hAnsi="Arial" w:cs="Arial"/>
        </w:rPr>
      </w:pPr>
      <w:r w:rsidRPr="00781DB0">
        <w:rPr>
          <w:rFonts w:ascii="Arial" w:hAnsi="Arial" w:cs="Arial"/>
        </w:rPr>
        <w:t xml:space="preserve">En efecto, las normas internacionales de derechos humanos contemplan un derecho </w:t>
      </w:r>
      <w:r w:rsidRPr="00781DB0">
        <w:rPr>
          <w:rFonts w:ascii="Arial" w:hAnsi="Arial" w:cs="Arial"/>
          <w:b/>
          <w:bCs/>
        </w:rPr>
        <w:t>incondicionado</w:t>
      </w:r>
      <w:r w:rsidRPr="00781DB0">
        <w:rPr>
          <w:rFonts w:ascii="Arial" w:hAnsi="Arial" w:cs="Arial"/>
        </w:rPr>
        <w:t xml:space="preserve"> a impugnar la sentencia condenatoria. El artículo 8(2)(h) de la Convención Americana sobre Derechos Humanos establece el “derecho de recurrir el fallo ante juez o tribunal superior”. A la vez, el artículo 14(5) del Pacto Internacional de Derechos Civiles y Políticos señala </w:t>
      </w:r>
      <w:proofErr w:type="gramStart"/>
      <w:r w:rsidRPr="00781DB0">
        <w:rPr>
          <w:rFonts w:ascii="Arial" w:hAnsi="Arial" w:cs="Arial"/>
        </w:rPr>
        <w:t>que  Toda</w:t>
      </w:r>
      <w:proofErr w:type="gramEnd"/>
      <w:r w:rsidRPr="00781DB0">
        <w:rPr>
          <w:rFonts w:ascii="Arial" w:hAnsi="Arial" w:cs="Arial"/>
        </w:rPr>
        <w:t xml:space="preserve"> persona declarada culpable de un delito tendrá derecho a que el fallo condenatorio y la pena que se le haya impuesto sean sometidos a un tribunal superior, conforme a lo prescrito por la ley.” </w:t>
      </w:r>
    </w:p>
    <w:p w:rsidR="00E04C25" w:rsidRPr="00781DB0" w:rsidRDefault="00E04C25" w:rsidP="00720007">
      <w:pPr>
        <w:spacing w:after="0" w:line="240" w:lineRule="auto"/>
        <w:jc w:val="both"/>
        <w:rPr>
          <w:rFonts w:ascii="Arial" w:eastAsia="Times New Roman" w:hAnsi="Arial" w:cs="Arial"/>
          <w:i/>
          <w:color w:val="000000"/>
        </w:rPr>
      </w:pPr>
    </w:p>
    <w:p w:rsidR="0024758C" w:rsidRPr="00781DB0" w:rsidRDefault="0024758C" w:rsidP="00720007">
      <w:pPr>
        <w:spacing w:after="0" w:line="240" w:lineRule="auto"/>
        <w:jc w:val="both"/>
        <w:rPr>
          <w:rFonts w:ascii="Arial" w:eastAsia="Times New Roman" w:hAnsi="Arial" w:cs="Arial"/>
          <w:i/>
          <w:color w:val="000000"/>
        </w:rPr>
      </w:pPr>
      <w:r w:rsidRPr="00781DB0">
        <w:rPr>
          <w:rFonts w:ascii="Arial" w:eastAsia="Times New Roman" w:hAnsi="Arial" w:cs="Arial"/>
          <w:color w:val="000000"/>
        </w:rPr>
        <w:t>Estas disposiciones, a la luz del artículo 93 de la Constitución Política, deben ser tenid</w:t>
      </w:r>
      <w:r w:rsidR="00065549" w:rsidRPr="00781DB0">
        <w:rPr>
          <w:rFonts w:ascii="Arial" w:eastAsia="Times New Roman" w:hAnsi="Arial" w:cs="Arial"/>
          <w:color w:val="000000"/>
        </w:rPr>
        <w:t>a</w:t>
      </w:r>
      <w:r w:rsidRPr="00781DB0">
        <w:rPr>
          <w:rFonts w:ascii="Arial" w:eastAsia="Times New Roman" w:hAnsi="Arial" w:cs="Arial"/>
          <w:color w:val="000000"/>
        </w:rPr>
        <w:t xml:space="preserve">s en cuenta para interpretar los derechos y deberes que se encuentran consagrados en la Carta, </w:t>
      </w:r>
      <w:proofErr w:type="gramStart"/>
      <w:r w:rsidRPr="00781DB0">
        <w:rPr>
          <w:rFonts w:ascii="Arial" w:eastAsia="Times New Roman" w:hAnsi="Arial" w:cs="Arial"/>
          <w:color w:val="000000"/>
        </w:rPr>
        <w:t>y</w:t>
      </w:r>
      <w:proofErr w:type="gramEnd"/>
      <w:r w:rsidRPr="00781DB0">
        <w:rPr>
          <w:rFonts w:ascii="Arial" w:eastAsia="Times New Roman" w:hAnsi="Arial" w:cs="Arial"/>
          <w:color w:val="000000"/>
        </w:rPr>
        <w:t xml:space="preserve"> en consecuencia, rigen la línea dogmática de </w:t>
      </w:r>
      <w:r w:rsidR="00065549" w:rsidRPr="00781DB0">
        <w:rPr>
          <w:rFonts w:ascii="Arial" w:eastAsia="Times New Roman" w:hAnsi="Arial" w:cs="Arial"/>
          <w:color w:val="000000"/>
        </w:rPr>
        <w:t xml:space="preserve">la </w:t>
      </w:r>
      <w:r w:rsidRPr="00781DB0">
        <w:rPr>
          <w:rFonts w:ascii="Arial" w:eastAsia="Times New Roman" w:hAnsi="Arial" w:cs="Arial"/>
          <w:color w:val="000000"/>
        </w:rPr>
        <w:t xml:space="preserve">producción normativa. </w:t>
      </w:r>
    </w:p>
    <w:p w:rsidR="0024758C" w:rsidRPr="00781DB0" w:rsidRDefault="0024758C" w:rsidP="00720007">
      <w:pPr>
        <w:spacing w:after="0" w:line="240" w:lineRule="auto"/>
        <w:jc w:val="both"/>
        <w:rPr>
          <w:rFonts w:ascii="Arial" w:eastAsia="Times New Roman" w:hAnsi="Arial" w:cs="Arial"/>
          <w:color w:val="000000"/>
        </w:rPr>
      </w:pPr>
    </w:p>
    <w:p w:rsidR="0060318C" w:rsidRPr="00781DB0" w:rsidRDefault="0060318C" w:rsidP="00720007">
      <w:pPr>
        <w:spacing w:after="0" w:line="240" w:lineRule="auto"/>
        <w:jc w:val="both"/>
        <w:rPr>
          <w:rFonts w:ascii="Arial" w:eastAsia="Times New Roman" w:hAnsi="Arial" w:cs="Arial"/>
          <w:color w:val="000000"/>
        </w:rPr>
      </w:pPr>
      <w:r w:rsidRPr="00781DB0">
        <w:rPr>
          <w:rFonts w:ascii="Arial" w:eastAsia="Times New Roman" w:hAnsi="Arial" w:cs="Arial"/>
          <w:color w:val="000000"/>
        </w:rPr>
        <w:t xml:space="preserve">Atender a lo señalado en estos instrumentos internacionales no es únicamente una obligación estatal que se deriva de su ratificación por parte de Colombia, sino que </w:t>
      </w:r>
      <w:r w:rsidR="00065549" w:rsidRPr="00781DB0">
        <w:rPr>
          <w:rFonts w:ascii="Arial" w:eastAsia="Times New Roman" w:hAnsi="Arial" w:cs="Arial"/>
          <w:color w:val="000000"/>
        </w:rPr>
        <w:t xml:space="preserve">en el caso que nos convoca </w:t>
      </w:r>
      <w:r w:rsidRPr="00781DB0">
        <w:rPr>
          <w:rFonts w:ascii="Arial" w:eastAsia="Times New Roman" w:hAnsi="Arial" w:cs="Arial"/>
          <w:color w:val="000000"/>
        </w:rPr>
        <w:t xml:space="preserve">implica la posibilidad de concreción del derecho que tiene cualquier persona </w:t>
      </w:r>
      <w:r w:rsidR="002512A7" w:rsidRPr="00781DB0">
        <w:rPr>
          <w:rFonts w:ascii="Arial" w:eastAsia="Times New Roman" w:hAnsi="Arial" w:cs="Arial"/>
          <w:color w:val="000000"/>
        </w:rPr>
        <w:t xml:space="preserve">que está siendo </w:t>
      </w:r>
      <w:r w:rsidRPr="00781DB0">
        <w:rPr>
          <w:rFonts w:ascii="Arial" w:eastAsia="Times New Roman" w:hAnsi="Arial" w:cs="Arial"/>
          <w:color w:val="000000"/>
        </w:rPr>
        <w:t>procesada penalmente</w:t>
      </w:r>
      <w:r w:rsidR="002512A7" w:rsidRPr="00781DB0">
        <w:rPr>
          <w:rFonts w:ascii="Arial" w:eastAsia="Times New Roman" w:hAnsi="Arial" w:cs="Arial"/>
          <w:color w:val="000000"/>
        </w:rPr>
        <w:t>,</w:t>
      </w:r>
      <w:r w:rsidRPr="00781DB0">
        <w:rPr>
          <w:rFonts w:ascii="Arial" w:eastAsia="Times New Roman" w:hAnsi="Arial" w:cs="Arial"/>
          <w:color w:val="000000"/>
        </w:rPr>
        <w:t xml:space="preserve"> a acceder a </w:t>
      </w:r>
      <w:r w:rsidR="00CD2EB3">
        <w:rPr>
          <w:rFonts w:ascii="Arial" w:eastAsia="Times New Roman" w:hAnsi="Arial" w:cs="Arial"/>
          <w:color w:val="000000"/>
        </w:rPr>
        <w:t>mecanismos que</w:t>
      </w:r>
      <w:r w:rsidR="00065549" w:rsidRPr="00781DB0">
        <w:rPr>
          <w:rFonts w:ascii="Arial" w:eastAsia="Times New Roman" w:hAnsi="Arial" w:cs="Arial"/>
          <w:color w:val="000000"/>
        </w:rPr>
        <w:t xml:space="preserve"> responden a los mínimos</w:t>
      </w:r>
      <w:r w:rsidR="002512A7" w:rsidRPr="00781DB0">
        <w:rPr>
          <w:rFonts w:ascii="Arial" w:eastAsia="Times New Roman" w:hAnsi="Arial" w:cs="Arial"/>
          <w:color w:val="000000"/>
        </w:rPr>
        <w:t xml:space="preserve"> </w:t>
      </w:r>
      <w:r w:rsidR="00065549" w:rsidRPr="00781DB0">
        <w:rPr>
          <w:rFonts w:ascii="Arial" w:eastAsia="Times New Roman" w:hAnsi="Arial" w:cs="Arial"/>
          <w:color w:val="000000"/>
        </w:rPr>
        <w:t>d</w:t>
      </w:r>
      <w:r w:rsidRPr="00781DB0">
        <w:rPr>
          <w:rFonts w:ascii="Arial" w:eastAsia="Times New Roman" w:hAnsi="Arial" w:cs="Arial"/>
          <w:color w:val="000000"/>
        </w:rPr>
        <w:t>el debido proceso</w:t>
      </w:r>
      <w:r w:rsidR="002512A7" w:rsidRPr="00781DB0">
        <w:rPr>
          <w:rFonts w:ascii="Arial" w:eastAsia="Times New Roman" w:hAnsi="Arial" w:cs="Arial"/>
          <w:color w:val="000000"/>
        </w:rPr>
        <w:t>.</w:t>
      </w:r>
    </w:p>
    <w:p w:rsidR="00F50848" w:rsidRPr="00781DB0" w:rsidRDefault="00F50848" w:rsidP="00720007">
      <w:pPr>
        <w:spacing w:after="0" w:line="240" w:lineRule="auto"/>
        <w:jc w:val="both"/>
        <w:rPr>
          <w:rFonts w:ascii="Arial" w:eastAsia="Times New Roman" w:hAnsi="Arial" w:cs="Arial"/>
          <w:color w:val="000000"/>
        </w:rPr>
      </w:pPr>
    </w:p>
    <w:p w:rsidR="00E04C25" w:rsidRPr="00781DB0" w:rsidRDefault="008355FD" w:rsidP="00720007">
      <w:pPr>
        <w:jc w:val="both"/>
        <w:rPr>
          <w:rFonts w:ascii="Arial" w:eastAsia="Times New Roman" w:hAnsi="Arial" w:cs="Arial"/>
          <w:i/>
          <w:color w:val="000000"/>
        </w:rPr>
      </w:pPr>
      <w:r w:rsidRPr="00781DB0">
        <w:rPr>
          <w:rFonts w:ascii="Arial" w:eastAsia="Times New Roman" w:hAnsi="Arial" w:cs="Arial"/>
          <w:color w:val="000000"/>
        </w:rPr>
        <w:t>Ahora bien, es</w:t>
      </w:r>
      <w:r w:rsidR="00F50848" w:rsidRPr="00781DB0">
        <w:rPr>
          <w:rFonts w:ascii="Arial" w:eastAsia="Times New Roman" w:hAnsi="Arial" w:cs="Arial"/>
          <w:color w:val="000000"/>
        </w:rPr>
        <w:t xml:space="preserve"> importante advertir que cuando los instrumentos de derechos humanos a los que se ha hecho referencia establecen los derechos a la doble instancia y a la doble conformidad </w:t>
      </w:r>
      <w:r w:rsidR="00F50848" w:rsidRPr="00781DB0">
        <w:rPr>
          <w:rFonts w:ascii="Arial" w:eastAsia="Times New Roman" w:hAnsi="Arial" w:cs="Arial"/>
          <w:b/>
          <w:bCs/>
          <w:color w:val="000000"/>
        </w:rPr>
        <w:t xml:space="preserve">conforme a lo prescrito por la ley, </w:t>
      </w:r>
      <w:r w:rsidR="00F50848" w:rsidRPr="00781DB0">
        <w:rPr>
          <w:rFonts w:ascii="Arial" w:eastAsia="Times New Roman" w:hAnsi="Arial" w:cs="Arial"/>
          <w:color w:val="000000"/>
        </w:rPr>
        <w:t xml:space="preserve">no dan paso a que el ordenamiento jurídico interno establezca limitaciones a su ejercicio, tal y como ha sido reconocido por el Comité de Derechos Humanos de la Organización de las Naciones Unidas </w:t>
      </w:r>
      <w:r w:rsidR="00F50848" w:rsidRPr="00781DB0">
        <w:rPr>
          <w:rFonts w:ascii="Arial" w:eastAsia="Times New Roman" w:hAnsi="Arial" w:cs="Arial"/>
          <w:i/>
          <w:color w:val="000000"/>
        </w:rPr>
        <w:t xml:space="preserve">al señalar que esa cláusula </w:t>
      </w:r>
      <w:r w:rsidR="00F50848" w:rsidRPr="00781DB0">
        <w:rPr>
          <w:rFonts w:ascii="Arial" w:eastAsia="Times New Roman" w:hAnsi="Arial" w:cs="Arial"/>
          <w:b/>
          <w:i/>
          <w:color w:val="000000"/>
          <w:u w:val="single"/>
        </w:rPr>
        <w:t>no tiene por objeto dejar a discreción de los Estados Partes la existencia misma del derecho a la apelación, porque los derechos son los reconocidos en el Pacto y no únicamente los reconocidos en la legislación interna</w:t>
      </w:r>
      <w:r w:rsidR="00AE645A" w:rsidRPr="00781DB0">
        <w:rPr>
          <w:rFonts w:ascii="Arial" w:eastAsia="Times New Roman" w:hAnsi="Arial" w:cs="Arial"/>
          <w:b/>
          <w:i/>
          <w:color w:val="000000"/>
          <w:u w:val="single"/>
        </w:rPr>
        <w:t xml:space="preserve">. Ese </w:t>
      </w:r>
      <w:proofErr w:type="gramStart"/>
      <w:r w:rsidR="00AE645A" w:rsidRPr="00781DB0">
        <w:rPr>
          <w:rFonts w:ascii="Arial" w:eastAsia="Times New Roman" w:hAnsi="Arial" w:cs="Arial"/>
          <w:b/>
          <w:i/>
          <w:color w:val="000000"/>
          <w:u w:val="single"/>
        </w:rPr>
        <w:t xml:space="preserve">Comité </w:t>
      </w:r>
      <w:r w:rsidR="00F50848" w:rsidRPr="00781DB0">
        <w:rPr>
          <w:rFonts w:ascii="Arial" w:eastAsia="Times New Roman" w:hAnsi="Arial" w:cs="Arial"/>
          <w:b/>
          <w:i/>
          <w:color w:val="000000"/>
          <w:u w:val="single"/>
        </w:rPr>
        <w:t xml:space="preserve"> </w:t>
      </w:r>
      <w:r w:rsidR="00AE645A" w:rsidRPr="00781DB0">
        <w:rPr>
          <w:rFonts w:ascii="Arial" w:eastAsia="Times New Roman" w:hAnsi="Arial" w:cs="Arial"/>
          <w:b/>
          <w:i/>
          <w:color w:val="000000"/>
          <w:u w:val="single"/>
        </w:rPr>
        <w:t>ha</w:t>
      </w:r>
      <w:proofErr w:type="gramEnd"/>
      <w:r w:rsidR="00AE645A" w:rsidRPr="00781DB0">
        <w:rPr>
          <w:rFonts w:ascii="Arial" w:eastAsia="Times New Roman" w:hAnsi="Arial" w:cs="Arial"/>
          <w:b/>
          <w:i/>
          <w:color w:val="000000"/>
          <w:u w:val="single"/>
        </w:rPr>
        <w:t xml:space="preserve"> </w:t>
      </w:r>
      <w:r w:rsidR="00AE645A" w:rsidRPr="00781DB0">
        <w:rPr>
          <w:rFonts w:ascii="Arial" w:eastAsia="Times New Roman" w:hAnsi="Arial" w:cs="Arial"/>
          <w:b/>
          <w:i/>
          <w:color w:val="000000"/>
          <w:u w:val="single"/>
        </w:rPr>
        <w:lastRenderedPageBreak/>
        <w:t>concluido</w:t>
      </w:r>
      <w:r w:rsidR="00F50848" w:rsidRPr="00781DB0">
        <w:rPr>
          <w:rFonts w:ascii="Arial" w:eastAsia="Times New Roman" w:hAnsi="Arial" w:cs="Arial"/>
          <w:b/>
          <w:i/>
          <w:color w:val="000000"/>
          <w:u w:val="single"/>
        </w:rPr>
        <w:t xml:space="preserve"> que </w:t>
      </w:r>
      <w:r w:rsidR="00F50848" w:rsidRPr="00781DB0">
        <w:rPr>
          <w:rFonts w:ascii="Arial" w:eastAsia="Times New Roman" w:hAnsi="Arial" w:cs="Arial"/>
          <w:i/>
          <w:color w:val="000000"/>
        </w:rPr>
        <w:t xml:space="preserve">Si bien la legislación de un Estado parte puede disponer en ciertas ocasiones que una persona en razón de su cargo sea juzgada por un tribunal de superior jerarquía que el que naturalmente correspondería, está circunstancia no puede por sí sola menoscabar el derecho del acusado a la revisión de su sentencia y condena por un </w:t>
      </w:r>
      <w:r w:rsidR="00AE645A" w:rsidRPr="00781DB0">
        <w:rPr>
          <w:rFonts w:ascii="Arial" w:eastAsia="Times New Roman" w:hAnsi="Arial" w:cs="Arial"/>
          <w:i/>
          <w:color w:val="000000"/>
        </w:rPr>
        <w:t>tribunal.</w:t>
      </w:r>
    </w:p>
    <w:p w:rsidR="000C3ACB" w:rsidRPr="00781DB0" w:rsidRDefault="00315342" w:rsidP="00720007">
      <w:pPr>
        <w:pBdr>
          <w:top w:val="nil"/>
          <w:left w:val="nil"/>
          <w:bottom w:val="nil"/>
          <w:right w:val="nil"/>
          <w:between w:val="nil"/>
        </w:pBdr>
        <w:spacing w:after="0" w:line="240" w:lineRule="auto"/>
        <w:jc w:val="both"/>
        <w:rPr>
          <w:rFonts w:ascii="Arial" w:eastAsia="Times New Roman" w:hAnsi="Arial" w:cs="Arial"/>
          <w:i/>
          <w:color w:val="000000"/>
          <w:u w:val="single"/>
        </w:rPr>
      </w:pPr>
      <w:r w:rsidRPr="00781DB0">
        <w:rPr>
          <w:rFonts w:ascii="Arial" w:eastAsia="Times New Roman" w:hAnsi="Arial" w:cs="Arial"/>
          <w:color w:val="000000"/>
        </w:rPr>
        <w:t xml:space="preserve">Por su parte, la Corte Interamericana de Derechos Humanos frente al derecho a recurrir el fallo condenatorio, </w:t>
      </w:r>
      <w:r w:rsidR="000C3ACB" w:rsidRPr="00781DB0">
        <w:rPr>
          <w:rFonts w:ascii="Arial" w:eastAsia="Times New Roman" w:hAnsi="Arial" w:cs="Arial"/>
          <w:color w:val="000000"/>
        </w:rPr>
        <w:t xml:space="preserve">ha hecho hincapié en que </w:t>
      </w:r>
      <w:r w:rsidRPr="00781DB0">
        <w:rPr>
          <w:rFonts w:ascii="Arial" w:eastAsia="Times New Roman" w:hAnsi="Arial" w:cs="Arial"/>
          <w:b/>
          <w:i/>
          <w:color w:val="000000"/>
        </w:rPr>
        <w:t>Cuando el tribunal más alto de un país actúa como primera y única instancia, la ausencia de todo derecho a revisión por un tribunal superior no queda compensada por el hecho de haber sido juzgado por el tribunal de mayor jerarquía del Estado Parte; por el contrario, tal sistema es incompatible con el Pacto, a menos que el Estado Parte interesado haya formulado una reserva a ese efecto</w:t>
      </w:r>
      <w:r w:rsidRPr="00781DB0">
        <w:rPr>
          <w:rFonts w:ascii="Arial" w:eastAsia="Times New Roman" w:hAnsi="Arial" w:cs="Arial"/>
          <w:i/>
          <w:color w:val="000000"/>
        </w:rPr>
        <w:t>.</w:t>
      </w:r>
      <w:r w:rsidR="000C3ACB" w:rsidRPr="00781DB0">
        <w:rPr>
          <w:rFonts w:ascii="Arial" w:eastAsia="Times New Roman" w:hAnsi="Arial" w:cs="Arial"/>
          <w:i/>
          <w:color w:val="000000"/>
        </w:rPr>
        <w:t xml:space="preserve"> </w:t>
      </w:r>
      <w:r w:rsidR="000C3ACB" w:rsidRPr="00781DB0">
        <w:rPr>
          <w:rFonts w:ascii="Arial" w:eastAsia="Times New Roman" w:hAnsi="Arial" w:cs="Arial"/>
          <w:b/>
          <w:i/>
          <w:color w:val="000000"/>
          <w:u w:val="single"/>
        </w:rPr>
        <w:t>Si bien los Estados tienen un margen de apreciación para regular el ejercicio de ese recurso, no pueden establecer restricciones o requisitos que infrinjan la esencia misma del derecho de recurrir del fallo. El Estado puede establecer fueros especiales para el enjuiciamiento de altos funcionarios públicos, y esos fueros son compatibles, en principio, con la Convención Americana (…). Sin embargo, aun en estos supuestos el Estado debe permitir que el justiciable cuente con la posibilidad de recurrir el fallo condenatorio. Así sucedería, por ejemplo, si se dispusiera que el juzgamiento en primera instancia estará a cargo del presidente o de una sala del órgano colegiado superior y el conocimiento de la impugnación corresponderá al pleno de dicho órgano, con exclusión de quienes ya se pronunciaron sobre el caso.</w:t>
      </w:r>
    </w:p>
    <w:p w:rsidR="000C3ACB" w:rsidRPr="00781DB0" w:rsidRDefault="000C3ACB" w:rsidP="00720007">
      <w:pPr>
        <w:pBdr>
          <w:top w:val="nil"/>
          <w:left w:val="nil"/>
          <w:bottom w:val="nil"/>
          <w:right w:val="nil"/>
          <w:between w:val="nil"/>
        </w:pBdr>
        <w:spacing w:after="0" w:line="240" w:lineRule="auto"/>
        <w:ind w:left="927"/>
        <w:jc w:val="both"/>
        <w:rPr>
          <w:rFonts w:ascii="Arial" w:eastAsia="Times New Roman" w:hAnsi="Arial" w:cs="Arial"/>
          <w:i/>
          <w:color w:val="000000"/>
        </w:rPr>
      </w:pPr>
      <w:bookmarkStart w:id="1" w:name="_30j0zll" w:colFirst="0" w:colLast="0"/>
      <w:bookmarkEnd w:id="1"/>
    </w:p>
    <w:p w:rsidR="00F536AA" w:rsidRPr="00781DB0" w:rsidRDefault="00306240" w:rsidP="00720007">
      <w:pPr>
        <w:jc w:val="both"/>
        <w:rPr>
          <w:rFonts w:ascii="Arial" w:hAnsi="Arial" w:cs="Arial"/>
        </w:rPr>
      </w:pPr>
      <w:r w:rsidRPr="00781DB0">
        <w:rPr>
          <w:rFonts w:ascii="Arial" w:eastAsia="Times New Roman" w:hAnsi="Arial" w:cs="Arial"/>
          <w:color w:val="000000"/>
        </w:rPr>
        <w:t xml:space="preserve">El Proyecto de Ley Estatutaria 304 de 2020 </w:t>
      </w:r>
      <w:r w:rsidR="007570D9" w:rsidRPr="00781DB0">
        <w:rPr>
          <w:rFonts w:ascii="Arial" w:eastAsia="Times New Roman" w:hAnsi="Arial" w:cs="Arial"/>
          <w:color w:val="000000"/>
        </w:rPr>
        <w:t>Cámara</w:t>
      </w:r>
      <w:r w:rsidRPr="00781DB0">
        <w:rPr>
          <w:rFonts w:ascii="Arial" w:eastAsia="Times New Roman" w:hAnsi="Arial" w:cs="Arial"/>
          <w:color w:val="000000"/>
        </w:rPr>
        <w:t xml:space="preserve"> va en concordancia con estos pronunciamientos y atiende el llamado de la ONU y de la Comisión Interamericana de Derechos Humanos en el sentido de garantizar a través del marco normativo interno, el derecho a la doble instancia y a la doble conformidad</w:t>
      </w:r>
      <w:r w:rsidR="008355FD" w:rsidRPr="00781DB0">
        <w:rPr>
          <w:rFonts w:ascii="Arial" w:eastAsia="Times New Roman" w:hAnsi="Arial" w:cs="Arial"/>
          <w:color w:val="000000"/>
        </w:rPr>
        <w:t xml:space="preserve">. </w:t>
      </w:r>
      <w:r w:rsidRPr="00781DB0">
        <w:rPr>
          <w:rFonts w:ascii="Arial" w:eastAsia="Times New Roman" w:hAnsi="Arial" w:cs="Arial"/>
          <w:color w:val="000000"/>
        </w:rPr>
        <w:t xml:space="preserve"> </w:t>
      </w:r>
    </w:p>
    <w:p w:rsidR="007570D9" w:rsidRPr="00781DB0" w:rsidRDefault="007570D9" w:rsidP="00720007">
      <w:pPr>
        <w:spacing w:after="0"/>
        <w:jc w:val="both"/>
        <w:rPr>
          <w:rFonts w:ascii="Arial" w:hAnsi="Arial" w:cs="Arial"/>
        </w:rPr>
      </w:pPr>
    </w:p>
    <w:p w:rsidR="007570D9" w:rsidRPr="00781DB0" w:rsidRDefault="007570D9" w:rsidP="00720007">
      <w:pPr>
        <w:spacing w:after="0"/>
        <w:jc w:val="both"/>
        <w:rPr>
          <w:rFonts w:ascii="Arial" w:hAnsi="Arial" w:cs="Arial"/>
        </w:rPr>
      </w:pPr>
      <w:r w:rsidRPr="00781DB0">
        <w:rPr>
          <w:rFonts w:ascii="Arial" w:hAnsi="Arial" w:cs="Arial"/>
        </w:rPr>
        <w:t xml:space="preserve">Conforme a lo señalado, el </w:t>
      </w:r>
      <w:r w:rsidRPr="00781DB0">
        <w:rPr>
          <w:rFonts w:ascii="Arial" w:eastAsia="Times New Roman" w:hAnsi="Arial" w:cs="Arial"/>
          <w:color w:val="000000"/>
        </w:rPr>
        <w:t xml:space="preserve">Proyecto de Ley Estatutaria 304 de 2020 Cámara se ciñe a lo establecido en la Constitución Política, en los instrumentos internacionales de derechos humanos que integran el bloque de constitucionalidad, hace que la garantía al debido proceso sea plena para todas las personas, y responde a los fundamentos </w:t>
      </w:r>
      <w:r w:rsidRPr="000A3C73">
        <w:rPr>
          <w:rFonts w:ascii="Arial" w:eastAsia="Times New Roman" w:hAnsi="Arial" w:cs="Arial"/>
          <w:color w:val="000000"/>
        </w:rPr>
        <w:t>del Estado Social y Democrático de Derecho.</w:t>
      </w:r>
      <w:r w:rsidRPr="00781DB0">
        <w:rPr>
          <w:rFonts w:ascii="Arial" w:eastAsia="Times New Roman" w:hAnsi="Arial" w:cs="Arial"/>
          <w:color w:val="000000"/>
        </w:rPr>
        <w:t xml:space="preserve"> </w:t>
      </w:r>
    </w:p>
    <w:bookmarkEnd w:id="0"/>
    <w:p w:rsidR="00F536AA" w:rsidRPr="00781DB0" w:rsidRDefault="00F536AA" w:rsidP="00720007">
      <w:pPr>
        <w:jc w:val="both"/>
        <w:rPr>
          <w:rFonts w:ascii="Arial" w:hAnsi="Arial" w:cs="Arial"/>
        </w:rPr>
      </w:pPr>
    </w:p>
    <w:sectPr w:rsidR="00F536AA" w:rsidRPr="00781DB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FFF" w:rsidRDefault="000A3FFF" w:rsidP="00561AE5">
      <w:pPr>
        <w:spacing w:after="0" w:line="240" w:lineRule="auto"/>
      </w:pPr>
      <w:r>
        <w:separator/>
      </w:r>
    </w:p>
  </w:endnote>
  <w:endnote w:type="continuationSeparator" w:id="0">
    <w:p w:rsidR="000A3FFF" w:rsidRDefault="000A3FFF" w:rsidP="0056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FFF" w:rsidRDefault="000A3FFF" w:rsidP="00561AE5">
      <w:pPr>
        <w:spacing w:after="0" w:line="240" w:lineRule="auto"/>
      </w:pPr>
      <w:r>
        <w:separator/>
      </w:r>
    </w:p>
  </w:footnote>
  <w:footnote w:type="continuationSeparator" w:id="0">
    <w:p w:rsidR="000A3FFF" w:rsidRDefault="000A3FFF" w:rsidP="00561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ED5B47"/>
    <w:multiLevelType w:val="multilevel"/>
    <w:tmpl w:val="F438C0A8"/>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67"/>
    <w:rsid w:val="00065549"/>
    <w:rsid w:val="000A3C73"/>
    <w:rsid w:val="000A3FFF"/>
    <w:rsid w:val="000C3ACB"/>
    <w:rsid w:val="000D6D67"/>
    <w:rsid w:val="0024758C"/>
    <w:rsid w:val="002512A7"/>
    <w:rsid w:val="00306240"/>
    <w:rsid w:val="00315342"/>
    <w:rsid w:val="004218E3"/>
    <w:rsid w:val="00425A9B"/>
    <w:rsid w:val="00561AE5"/>
    <w:rsid w:val="0060318C"/>
    <w:rsid w:val="00705708"/>
    <w:rsid w:val="00720007"/>
    <w:rsid w:val="007570D9"/>
    <w:rsid w:val="00781DB0"/>
    <w:rsid w:val="008355FD"/>
    <w:rsid w:val="00874F87"/>
    <w:rsid w:val="008F5E23"/>
    <w:rsid w:val="00AE645A"/>
    <w:rsid w:val="00B61E4D"/>
    <w:rsid w:val="00C30BF3"/>
    <w:rsid w:val="00CD2EB3"/>
    <w:rsid w:val="00E04C25"/>
    <w:rsid w:val="00E5749C"/>
    <w:rsid w:val="00F50848"/>
    <w:rsid w:val="00F536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CE087"/>
  <w15:chartTrackingRefBased/>
  <w15:docId w15:val="{BA89EA6E-4E61-491D-A85B-219530EA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859</Words>
  <Characters>4728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dc:creator>
  <cp:keywords/>
  <dc:description/>
  <cp:lastModifiedBy>tatia</cp:lastModifiedBy>
  <cp:revision>13</cp:revision>
  <dcterms:created xsi:type="dcterms:W3CDTF">2020-11-12T13:30:00Z</dcterms:created>
  <dcterms:modified xsi:type="dcterms:W3CDTF">2020-11-17T14:45:00Z</dcterms:modified>
</cp:coreProperties>
</file>